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23" w:rsidRDefault="00946C76" w:rsidP="00B20423">
      <w:pPr>
        <w:pageBreakBefore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B20423">
        <w:rPr>
          <w:rFonts w:ascii="Arial" w:hAnsi="Arial" w:cs="Arial"/>
          <w:b/>
          <w:bCs/>
        </w:rPr>
        <w:t>NFORME DE L´INTERVENTOR Nº 1-B: SOBRE EL COMPLIMENT DE L’OBJECTIU D’ESTABILITAT, REGLA DE LA DESPESA I LÍMIT DEL DEUTE, AMB MOTIU DE L’APROVACIÓ DE LA LIQUIDACIÓ DEL PRESSUPOST DE L´EXERCICI 2022.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(Aquest informe el determina l’art.15.3 de l’Ordre HAP/2105/2012, d’1 d’octubre, per la qual es desenvolupen les obligacions de subministrament d’informació previstes a la Llei Orgànica 2/2012, de 27 d’abril, d’estabilitat pressupostària i sostenibilitat financera).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ascii="Arial" w:hAnsi="Arial" w:cs="Arial"/>
        </w:rPr>
      </w:pP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IDENTIFICACIÓ</w:t>
      </w:r>
    </w:p>
    <w:p w:rsidR="00B20423" w:rsidRDefault="00B20423" w:rsidP="00B204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</w:rPr>
      </w:pPr>
    </w:p>
    <w:p w:rsidR="00B20423" w:rsidRDefault="00B20423" w:rsidP="00B20423">
      <w:pPr>
        <w:numPr>
          <w:ilvl w:val="0"/>
          <w:numId w:val="6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Òrgan que l’ha sol·licitat o al qual s’adreça: L´Alcalde.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</w:rPr>
      </w:pPr>
    </w:p>
    <w:p w:rsidR="00B20423" w:rsidRDefault="00B20423" w:rsidP="00B20423">
      <w:pPr>
        <w:numPr>
          <w:ilvl w:val="0"/>
          <w:numId w:val="6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Caràcter: preceptiu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</w:rPr>
      </w:pPr>
    </w:p>
    <w:p w:rsidR="00B20423" w:rsidRDefault="00B20423" w:rsidP="00B20423">
      <w:pPr>
        <w:numPr>
          <w:ilvl w:val="0"/>
          <w:numId w:val="6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Títol: Informe sobre el compliment de l’objectiu d’estabilitat pressupostària,  la regla de la despesa i límit del deute públic en la liquidació de l’exercici 2022.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ascii="Arial" w:hAnsi="Arial" w:cs="Arial"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ANTECEDENTS</w:t>
      </w:r>
    </w:p>
    <w:p w:rsidR="00B20423" w:rsidRDefault="00B20423" w:rsidP="00B20423">
      <w:pPr>
        <w:ind w:left="900"/>
        <w:jc w:val="both"/>
        <w:rPr>
          <w:rFonts w:ascii="Arial" w:hAnsi="Arial" w:cs="Arial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compliment del que disposa la Llei Orgànica 2/2012, de 27 d’abril, d’estabilitat pressupostària i sostenibilitat financera (LOEPSF), s’informa el següent en relació amb el compliment del principi de estabilitat pressupostària, de la regla de despesa i del límit de deute, de la liquidació del pressupost de l’exercici 2022.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  <w:r>
        <w:rPr>
          <w:rFonts w:ascii="Arial" w:hAnsi="Arial" w:cs="Arial"/>
          <w:u w:val="single"/>
          <w:lang w:eastAsia="zh-CN"/>
        </w:rPr>
        <w:t>Pròrroga de la suspensió de les regles fiscals per a l´exercici 2023:</w:t>
      </w:r>
    </w:p>
    <w:p w:rsidR="00B20423" w:rsidRDefault="00B20423" w:rsidP="00B20423">
      <w:pPr>
        <w:suppressAutoHyphens/>
        <w:jc w:val="both"/>
        <w:rPr>
          <w:rFonts w:ascii="Arial" w:hAnsi="Arial" w:cs="Arial"/>
          <w:color w:val="FF0000"/>
          <w:lang w:eastAsia="zh-CN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El Consell de Ministres de 26-07-2022 va acordar sol·licitar al Congrés dels Diputats la pròrroga  de la suspensió de les regles fiscals per a l´exercici 2023. </w:t>
      </w: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El Congrés dels Diputats va apreciar aquesta situació per majoria absoluta dels seus membres en el Ple de 22-09-2022.</w:t>
      </w: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Una mesura extraordinària, que té com a objectiu permetre la flexibilitat fiscal, és per això, que els objectius d´estabilitat, deute públic i la regla de la despesa, no són d´aplicació.</w:t>
      </w: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  <w:r>
        <w:rPr>
          <w:rFonts w:ascii="Arial" w:hAnsi="Arial" w:cs="Arial"/>
          <w:u w:val="single"/>
          <w:lang w:eastAsia="zh-CN"/>
        </w:rPr>
        <w:t>Conseqüències de la suspensió de les regles fiscals en la liquidació de l´any 2022:</w:t>
      </w: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</w:p>
    <w:p w:rsidR="00B20423" w:rsidRDefault="00B20423" w:rsidP="00B20423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No es tindrà en compte el compliment de les regles fiscals en l´aprovació de la liquidació de l´ any 2022.</w:t>
      </w:r>
    </w:p>
    <w:p w:rsidR="00B20423" w:rsidRDefault="00B20423" w:rsidP="00B20423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Per a l´exercici 2023 no s´exigirà la presentació de plans economicofinancers, ni la seva aprovació.</w:t>
      </w:r>
    </w:p>
    <w:p w:rsidR="00B20423" w:rsidRDefault="00B20423" w:rsidP="00B20423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Els plans ja aprovats no són vigents per aquests exercicis i no seran objecte de seguiment al MEH, però si a Tutela financera (formulari 12).</w:t>
      </w:r>
    </w:p>
    <w:p w:rsidR="00B20423" w:rsidRDefault="00B20423" w:rsidP="00B20423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Queden suspeses les regles del destí del superàvit SEC en la liquidació de l´any 2022.</w:t>
      </w:r>
    </w:p>
    <w:p w:rsidR="00B20423" w:rsidRDefault="00B20423" w:rsidP="00B20423">
      <w:pPr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  <w:r>
        <w:rPr>
          <w:rFonts w:ascii="Arial" w:hAnsi="Arial" w:cs="Arial"/>
          <w:u w:val="single"/>
          <w:lang w:eastAsia="zh-CN"/>
        </w:rPr>
        <w:t>Aquesta suspensió de les regles fiscals no afecta a:</w:t>
      </w: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</w:p>
    <w:p w:rsidR="00B20423" w:rsidRDefault="00B20423" w:rsidP="00B20423">
      <w:pPr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L´obligació de compliment dels terminis de pagaments a proveïdors, ni al compliment de l´obligació d´atendre el compte 413.</w:t>
      </w:r>
    </w:p>
    <w:p w:rsidR="00B20423" w:rsidRDefault="00B20423" w:rsidP="00B20423">
      <w:pPr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El compliment de les obligacions de transparència previstes a la LOEPSF, i normativa de desenvolupament. Per tant, el compliment de les obligacions de subministrament d´informació segueix sent exigible i les conseqüències dels seus incompliments segueixen sent aplicables.</w:t>
      </w:r>
    </w:p>
    <w:p w:rsidR="00B20423" w:rsidRDefault="00B20423" w:rsidP="00B20423">
      <w:pPr>
        <w:suppressAutoHyphens/>
        <w:jc w:val="both"/>
        <w:rPr>
          <w:rFonts w:ascii="Arial" w:hAnsi="Arial" w:cs="Arial"/>
          <w:u w:val="single"/>
          <w:lang w:eastAsia="zh-CN"/>
        </w:rPr>
      </w:pPr>
    </w:p>
    <w:p w:rsidR="00B20423" w:rsidRDefault="00B20423" w:rsidP="00B20423">
      <w:pPr>
        <w:jc w:val="both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</w:rPr>
        <w:t>2.1. Càlcul de la capacitat o necessitat de finançament derivada de la liquidació del pressupost.</w:t>
      </w:r>
    </w:p>
    <w:p w:rsidR="00B20423" w:rsidRDefault="00B20423" w:rsidP="00B20423">
      <w:pPr>
        <w:ind w:left="900"/>
        <w:jc w:val="both"/>
        <w:rPr>
          <w:rFonts w:ascii="Arial" w:hAnsi="Arial" w:cs="Arial"/>
          <w:b/>
          <w:bCs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L’article 11.4 de la LOEPSF estableix que les corporacions locals han de mantenir una posició d’equilibri o superàvit pressupostari.</w:t>
      </w:r>
    </w:p>
    <w:p w:rsidR="00B20423" w:rsidRDefault="00B20423" w:rsidP="00B20423">
      <w:pPr>
        <w:pStyle w:val="Sangra2det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càlcul de la capacitat o necessitat de finançament en els ens sotmesos a pressupost s’obté, per diferència entre els imports dels capítols 1 a 7 d’ingressos i els capítols 1 a 7 de despeses, prèvia aplicació dels ajustos motivats per la diferència de criteri entre la comptabilitat nacional i la pressupostària.</w:t>
      </w:r>
    </w:p>
    <w:p w:rsidR="00B20423" w:rsidRDefault="00B20423" w:rsidP="00B20423">
      <w:pPr>
        <w:jc w:val="both"/>
        <w:rPr>
          <w:rFonts w:ascii="Arial" w:hAnsi="Arial" w:cs="Arial"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virtut del que estableix l’article 16.2 del Reglament s’ha d’informar sobre el compliment de l’objectiu d’estabilitat del pressupost de la pròpia entitat.</w:t>
      </w:r>
    </w:p>
    <w:p w:rsidR="00B20423" w:rsidRDefault="00B20423" w:rsidP="00B20423">
      <w:pPr>
        <w:jc w:val="both"/>
        <w:rPr>
          <w:rFonts w:ascii="Arial" w:hAnsi="Arial" w:cs="Arial"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Segons s’aprecia en el quadre següent, la diferència entre els drets reconeguts en els capítols 1 a 7 dels estats d’ingressos i les obligacions reconegudes en els capítols 1 a 7 de l’estat de despeses, prèvia aplicació dels ajustos descrits, determina la capacitat o necessitat de finançament.</w:t>
      </w:r>
    </w:p>
    <w:p w:rsidR="00B20423" w:rsidRDefault="00B20423" w:rsidP="00B20423">
      <w:pPr>
        <w:jc w:val="both"/>
        <w:rPr>
          <w:rFonts w:ascii="Arial" w:hAnsi="Arial" w:cs="Arial"/>
        </w:rPr>
      </w:pPr>
    </w:p>
    <w:tbl>
      <w:tblPr>
        <w:tblW w:w="851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5127"/>
      </w:tblGrid>
      <w:tr w:rsidR="00B20423" w:rsidTr="00B20423">
        <w:trPr>
          <w:trHeight w:val="27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Capítols ingressos</w:t>
            </w: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Liquidació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1.- Impostos directes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19.558.277,21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2.- Impostos indirectes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662.585,67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3.- Taxes i altres ingressos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8.378.873,94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4.- Transferències corrents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4.632.084,01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5.- Ingressos patrimonials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97.359,28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ingressos corrents: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33.329.180,11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6.- Alienació d´inversions reals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7.- Transferències de capital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315.260,84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ingressos capital: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315.260,84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 ingressos no financers: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33.644.440,95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8.- Variacions d´actius financers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9.- Variacions de passius financers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3.462.000,00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ingressos financers: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3.462.000,00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ingressos liquidats nets: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37.106.440,95</w:t>
            </w:r>
          </w:p>
        </w:tc>
      </w:tr>
      <w:tr w:rsidR="00B20423" w:rsidTr="00B20423">
        <w:trPr>
          <w:trHeight w:val="270"/>
        </w:trPr>
        <w:tc>
          <w:tcPr>
            <w:tcW w:w="3388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5127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7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Capítols despeses</w:t>
            </w: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Liquidació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1.- Remuneració personal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13.538.569,26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2.- Compra de béns corrents i serveis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16.371.675,80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3.- Interessos i despeses financeres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97.600,00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4.- Transferències corrents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1.360.283,93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despeses corrents: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31.368.128,99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6.- Inversions reals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4.552.431,18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7.-Transferències de capital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26.880,77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despeses capital: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4.579.311,95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Total despeses no financeres: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35.947.440,94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9.- Variació de passius financers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4.113.903,53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Total despeses financeres: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4.113.903,53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depeses liquidades netes: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40.061.344,47</w:t>
            </w:r>
          </w:p>
        </w:tc>
      </w:tr>
      <w:tr w:rsidR="00B20423" w:rsidTr="00B20423">
        <w:trPr>
          <w:trHeight w:val="270"/>
        </w:trPr>
        <w:tc>
          <w:tcPr>
            <w:tcW w:w="3388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5127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7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Situació econòmica</w:t>
            </w: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Final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ingressos no financers: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33.644.440,95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despeses no financeres: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35.947.440,94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DIFERÈNCIES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-2.302.999,99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AJUSTOS SEC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-666.665,50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SUPERÀVIT: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-2.969.665,49</w:t>
            </w:r>
          </w:p>
        </w:tc>
      </w:tr>
      <w:tr w:rsidR="00B20423" w:rsidTr="00B20423">
        <w:trPr>
          <w:trHeight w:val="270"/>
        </w:trPr>
        <w:tc>
          <w:tcPr>
            <w:tcW w:w="3388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5127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7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Situació econòmica</w:t>
            </w: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Final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ingressos no financers: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33.644.440,95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Ajustaments SEC d´ingressos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-895.570,22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Ingressos no financers ajustats: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32.748.870,73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despeses no financeres: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35.947.440,94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Ajustaments SEC de despeses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-228.904,72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Despeses no financers ajustades: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35.718.536,22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5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NECESSITAT DE FINANÇAMENT DE: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-2.969.665,49</w:t>
            </w:r>
          </w:p>
        </w:tc>
      </w:tr>
    </w:tbl>
    <w:p w:rsidR="00B20423" w:rsidRDefault="00B20423" w:rsidP="00B20423">
      <w:pPr>
        <w:jc w:val="both"/>
        <w:rPr>
          <w:rFonts w:ascii="Arial" w:hAnsi="Arial" w:cs="Arial"/>
          <w:lang w:eastAsia="es-ES"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liquidació presenta una necessitat de finançament calculada conforme a les normes SEC de:  </w:t>
      </w:r>
      <w:r>
        <w:rPr>
          <w:rFonts w:ascii="Arial" w:hAnsi="Arial" w:cs="Arial"/>
          <w:b/>
          <w:sz w:val="22"/>
          <w:szCs w:val="22"/>
        </w:rPr>
        <w:t>2.969.665,49 €</w:t>
      </w:r>
    </w:p>
    <w:p w:rsidR="00B20423" w:rsidRDefault="00B20423" w:rsidP="00B20423">
      <w:pPr>
        <w:jc w:val="both"/>
        <w:rPr>
          <w:rFonts w:ascii="Arial" w:hAnsi="Arial" w:cs="Arial"/>
        </w:rPr>
      </w:pPr>
    </w:p>
    <w:p w:rsidR="00B20423" w:rsidRDefault="00B20423" w:rsidP="00B20423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>2.2. Compliment de la regla de la despesa</w:t>
      </w:r>
    </w:p>
    <w:p w:rsidR="00B20423" w:rsidRDefault="00B20423" w:rsidP="00B20423">
      <w:pPr>
        <w:jc w:val="both"/>
        <w:rPr>
          <w:rFonts w:ascii="Arial" w:hAnsi="Arial" w:cs="Arial"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fi de determinar si l´Ajuntament, compleix amb la Regla de la Despesa, cal comparar l´import màxim establert en la liquidació del 2021 amb aquell que es desprèn de la liquidació de 2022. </w:t>
      </w:r>
    </w:p>
    <w:p w:rsidR="00B20423" w:rsidRDefault="00B20423" w:rsidP="00B20423">
      <w:pPr>
        <w:ind w:left="900"/>
        <w:jc w:val="both"/>
        <w:rPr>
          <w:rFonts w:ascii="Arial" w:hAnsi="Arial" w:cs="Arial"/>
          <w:color w:val="000000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despesa computable serà la no financera,  exclosos els interessos del deute, la part de la despesa finançada amb fons finalistes procedents d’Administracions Públiques i transferències vinculades als sistemes de finançament de les Corporacions Locals i +/- els ajustos que estableix la “Guia </w:t>
      </w:r>
      <w:r>
        <w:rPr>
          <w:rFonts w:ascii="Arial" w:hAnsi="Arial" w:cs="Arial"/>
          <w:i/>
          <w:sz w:val="18"/>
          <w:szCs w:val="18"/>
        </w:rPr>
        <w:t>(3ª edició)</w:t>
      </w:r>
      <w:r>
        <w:rPr>
          <w:rFonts w:ascii="Arial" w:hAnsi="Arial" w:cs="Arial"/>
          <w:sz w:val="22"/>
          <w:szCs w:val="22"/>
        </w:rPr>
        <w:t xml:space="preserve"> per la determinació de la Regla de la despesa de l’article 12 de la Llei 2/2012 Orgànica d’estabilitat pressupostària i sostenibilitat financera per a les Corporacions Locals”, de la IGAE.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Aquest resultat es compara amb l´obtingut en la liquidació del 2021, i s’afegeixen els increments normatius amb caràcter permanent i les </w:t>
      </w:r>
      <w:r>
        <w:rPr>
          <w:rFonts w:ascii="Arial" w:hAnsi="Arial" w:cs="Arial"/>
          <w:sz w:val="22"/>
          <w:szCs w:val="22"/>
        </w:rPr>
        <w:t>despeses realitzades d´inversions financerament sostenibles.</w:t>
      </w:r>
    </w:p>
    <w:p w:rsidR="00B20423" w:rsidRDefault="00B20423" w:rsidP="00B20423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Per a l´any 2022 no és vigent la taxa de referència de creixement del PIB.</w:t>
      </w:r>
    </w:p>
    <w:p w:rsidR="00B20423" w:rsidRDefault="00B20423" w:rsidP="00B20423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</w:rPr>
        <w:t xml:space="preserve">Determinació del compliment de la regla de la despesa: </w:t>
      </w:r>
    </w:p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</w:rPr>
      </w:pPr>
    </w:p>
    <w:tbl>
      <w:tblPr>
        <w:tblW w:w="901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352"/>
        <w:gridCol w:w="1392"/>
      </w:tblGrid>
      <w:tr w:rsidR="00B20423" w:rsidTr="00B20423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BASE DE LA DESPESA 2021: Liquidació 2021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Parcials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Totals 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Despeses capítols 1 a 7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30.396.503,50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(+)/(-) Ajustaments SEC 2010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-1.658.724,53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Meritament de la despesa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-1.664.824,53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Venda de patrimoni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6.100,00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(-) Interessos del deute (cap.3)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58.950,80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(-) Despesa finançada subv.AAPP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994.715,22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Generalitat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289.954,23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Diputació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323.015,16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l´Estat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2.332,13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del Consell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379.413,70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I.F.S. Fase "O" 2021: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Base Despesa 2021: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31.001.562,01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BASE DE LA DESPESA 2022: Liquidació 2022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Imports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Despeses capítols 1 a 7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35.947.440,94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(+)/(-) Ajustaments SEC 2010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289.472,55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Meritament de la despesa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289.472,55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Venda de patrimoni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(-) Interessos del deute (cap.3)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62.782,11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(-) Despesa finançada subv.AAPP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1.694.161,41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Generalitat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793.105,84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Diputació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418.717,22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 l´Estat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18.213,60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* Subvencions del Consell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464.124,75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Base Despesa 2022: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33.901.024,87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(+ o -) Aug.o dism.de la recap.derivats de canvis normatius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765.297,49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Inversions financerament sostenibles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Base ajustada 2022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33.135.727,38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Base Despesa 2021: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31.001.562,01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 augment:</w:t>
            </w:r>
          </w:p>
        </w:tc>
        <w:tc>
          <w:tcPr>
            <w:tcW w:w="1352" w:type="dxa"/>
            <w:noWrap/>
            <w:vAlign w:val="bottom"/>
            <w:hideMark/>
          </w:tcPr>
          <w:p w:rsidR="00B20423" w:rsidRDefault="00B20423">
            <w:pPr>
              <w:rPr>
                <w:lang w:eastAsia="ca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2.134.165,37</w:t>
            </w:r>
          </w:p>
        </w:tc>
      </w:tr>
      <w:tr w:rsidR="00B20423" w:rsidTr="00B20423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d´increment: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0423" w:rsidRDefault="00B2042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423" w:rsidRDefault="00B204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6,88%</w:t>
            </w:r>
          </w:p>
        </w:tc>
      </w:tr>
    </w:tbl>
    <w:p w:rsidR="00B20423" w:rsidRDefault="00B20423" w:rsidP="00B2042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lang w:eastAsia="es-ES"/>
        </w:rPr>
      </w:pPr>
    </w:p>
    <w:p w:rsidR="00B20423" w:rsidRDefault="00B20423" w:rsidP="00B20423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b/>
          <w:i/>
          <w:iCs/>
          <w:lang w:eastAsia="zh-CN"/>
        </w:rPr>
      </w:pPr>
      <w:r>
        <w:rPr>
          <w:rFonts w:ascii="Arial" w:hAnsi="Arial" w:cs="Arial"/>
          <w:lang w:eastAsia="zh-CN"/>
        </w:rPr>
        <w:t>La liquidació del Pressupost de l’Ajuntament</w:t>
      </w:r>
      <w:r>
        <w:rPr>
          <w:rFonts w:ascii="Arial" w:hAnsi="Arial" w:cs="Arial"/>
          <w:b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per l’exercici 2021, presenta una taxa positiva del: </w:t>
      </w:r>
      <w:r>
        <w:rPr>
          <w:rFonts w:ascii="Arial" w:hAnsi="Arial" w:cs="Arial"/>
          <w:b/>
          <w:lang w:eastAsia="zh-CN"/>
        </w:rPr>
        <w:t>6,88%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2.3. Anàlisi de l’objectiu de sostenibilitat: 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2.3.1. Deute públic: 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L’article 13.1 de la Llei orgànica 2/2012, de 27 d’abril, d’estabilitat pressupostària i sostenibilitat financera, únicament defineix un objectiu sectorial i no individual de deute pel subsector de l’Administració Local.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es disposa de desenvolupament normatiu que informi de com determinar i aplicar aquest percentatge, no obstant això, els límits d’endeutament aplicables a cadascuna de les entitats locals, es regulen al TRLRHL, és a dir, el 110% dels ingressos corrents liquidats consolidats (tenint en compte el 75% dels expressats recursos que estableix la regulació especial que determina la disposició final trentena primera de la Llei </w:t>
      </w:r>
      <w:r>
        <w:rPr>
          <w:rFonts w:ascii="Arial" w:hAnsi="Arial" w:cs="Arial"/>
          <w:sz w:val="22"/>
          <w:szCs w:val="22"/>
        </w:rPr>
        <w:lastRenderedPageBreak/>
        <w:t xml:space="preserve">17/2012, de 27 de desembre, de Pressupostos Generals de l’Estat per l’any 2013, </w:t>
      </w:r>
      <w:r>
        <w:rPr>
          <w:rFonts w:ascii="Arial" w:hAnsi="Arial" w:cs="Arial"/>
          <w:sz w:val="22"/>
          <w:szCs w:val="22"/>
          <w:shd w:val="clear" w:color="auto" w:fill="FFFFFF"/>
        </w:rPr>
        <w:t>i que és aplicable per a l’exercici 2022).</w:t>
      </w:r>
    </w:p>
    <w:p w:rsidR="00B20423" w:rsidRDefault="00B20423" w:rsidP="00B20423">
      <w:pPr>
        <w:pStyle w:val="Textoindependiente2"/>
        <w:rPr>
          <w:rFonts w:ascii="Arial" w:hAnsi="Arial" w:cs="Arial"/>
          <w:sz w:val="22"/>
          <w:szCs w:val="22"/>
          <w:lang w:val="ca-ES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volum de deute viu a 31/12/2022, en termes de percentatge sobre els ingressos corrents ajustats, és el següent:</w:t>
      </w:r>
    </w:p>
    <w:p w:rsidR="00B20423" w:rsidRDefault="00B20423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B20423" w:rsidRDefault="00946C76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noProof/>
          <w:lang w:val="es-ES"/>
        </w:rPr>
        <w:drawing>
          <wp:inline distT="0" distB="0" distL="0" distR="0">
            <wp:extent cx="5314950" cy="2628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23" w:rsidRDefault="00B20423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2.3.2. Període mig de pagament: </w:t>
      </w:r>
    </w:p>
    <w:p w:rsidR="00B20423" w:rsidRDefault="00B20423" w:rsidP="00B20423">
      <w:pPr>
        <w:jc w:val="both"/>
        <w:rPr>
          <w:rFonts w:ascii="Arial" w:eastAsia="Times New Roman" w:hAnsi="Arial" w:cs="Arial"/>
        </w:rPr>
      </w:pPr>
    </w:p>
    <w:p w:rsidR="00B20423" w:rsidRDefault="00B20423" w:rsidP="00B2042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PMP del quart trimestre informat al MINHAP ha estat de </w:t>
      </w:r>
      <w:r>
        <w:rPr>
          <w:rFonts w:ascii="Arial" w:hAnsi="Arial" w:cs="Arial"/>
          <w:b/>
          <w:bCs/>
        </w:rPr>
        <w:t>10,87 dies</w:t>
      </w:r>
      <w:r>
        <w:rPr>
          <w:rFonts w:ascii="Arial" w:hAnsi="Arial" w:cs="Arial"/>
          <w:bCs/>
        </w:rPr>
        <w:t>.</w:t>
      </w:r>
    </w:p>
    <w:p w:rsidR="00B20423" w:rsidRDefault="00B20423" w:rsidP="00B20423">
      <w:pPr>
        <w:jc w:val="both"/>
        <w:rPr>
          <w:rFonts w:ascii="Arial" w:hAnsi="Arial" w:cs="Arial"/>
          <w:b/>
          <w:bCs/>
        </w:rPr>
      </w:pPr>
    </w:p>
    <w:p w:rsidR="00B20423" w:rsidRDefault="00B20423" w:rsidP="00B2042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FONAMENTS DE DRET</w:t>
      </w:r>
    </w:p>
    <w:p w:rsidR="00B20423" w:rsidRDefault="00B20423" w:rsidP="00B20423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fonamenta en la  normativa reguladora del principi d’estabilitat pressupostària al sector públic local, de càlcul de la regla de despesa i de les obligacions de subministrament d’informació.</w:t>
      </w:r>
    </w:p>
    <w:p w:rsidR="00B20423" w:rsidRDefault="00B20423" w:rsidP="00B20423">
      <w:pPr>
        <w:tabs>
          <w:tab w:val="left" w:pos="900"/>
        </w:tabs>
        <w:jc w:val="both"/>
        <w:rPr>
          <w:rFonts w:ascii="Arial" w:hAnsi="Arial" w:cs="Arial"/>
        </w:rPr>
      </w:pP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Llei Orgànica 2/2012, de 27 d’abril, d’estabilitat pressupostària i sostenibilitat financera (LOEPSF).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Lei  Orgànica 4/2012, de 28 de setembre, per la qual es modifica la LO 2/2012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Llei Orgànica 9/2013, de 20 de desembre, de control del deute comercial en el sector públic.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Llei 27/2013, de 27 de desembre, de racionalització i sostenibilitat de l'Administració Local.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Llei 25/2013, de 27 de desembre, d’impuls de la factura electrònica i creació del registre comptable de factures en el sector públic.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Ordre Ministerial HAP/2015/2012, d'1 d’octubre, per la qual es desenvolupen les obligacions de subministrament d’informació previstes en la LOEPSF (OM).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Reial Decret Legislatiu 2/2004, de 5 de març, (TRLRHL) que aprova el Text Refós de la Llei reguladora de les hisendes locals, en relació amb el Principi d'Estabilitat Pressupostària (articles 54.7 i 146.1).</w:t>
      </w:r>
    </w:p>
    <w:p w:rsidR="00B20423" w:rsidRDefault="00B20423" w:rsidP="00B20423">
      <w:pPr>
        <w:numPr>
          <w:ilvl w:val="0"/>
          <w:numId w:val="9"/>
        </w:numPr>
        <w:tabs>
          <w:tab w:val="left" w:pos="900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Manual de càlcul del dèficit en comptabilitat nacional adaptat a les corporacions locals, publicat per la Intervenció General de l'Administració de l'Estat, Ministeri d'Economia i Hisenda.</w:t>
      </w:r>
    </w:p>
    <w:p w:rsidR="00B20423" w:rsidRDefault="00B20423" w:rsidP="00B20423">
      <w:pPr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Guia per a la determinació de la Regla de Despesa de l’article 12 de la LOEPSF per corporacions locals, 3 ª edició. IGAE.</w:t>
      </w:r>
    </w:p>
    <w:p w:rsidR="00B20423" w:rsidRDefault="00B20423" w:rsidP="00B20423">
      <w:pPr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Manual del SEC 2010 sobre el Dèficit Públic i el Deute Públic, publicat per Eurostat.</w:t>
      </w:r>
    </w:p>
    <w:p w:rsidR="00B20423" w:rsidRDefault="00B20423" w:rsidP="00B20423">
      <w:pPr>
        <w:jc w:val="both"/>
        <w:rPr>
          <w:rFonts w:ascii="Arial" w:hAnsi="Arial" w:cs="Arial"/>
          <w:b/>
          <w:bCs/>
        </w:rPr>
      </w:pPr>
    </w:p>
    <w:p w:rsidR="00B20423" w:rsidRDefault="00B20423" w:rsidP="00B20423">
      <w:pPr>
        <w:jc w:val="both"/>
        <w:rPr>
          <w:rFonts w:ascii="Arial" w:hAnsi="Arial" w:cs="Arial"/>
          <w:b/>
          <w:bCs/>
        </w:rPr>
      </w:pPr>
    </w:p>
    <w:p w:rsidR="00B20423" w:rsidRDefault="00B20423" w:rsidP="00B2042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CONCLUSIONS SOBRE EL COMPLIMENT DE L’OBJECTIU D’ESTABILITAT PRESSUPOSTÀRIA, REGLA DE DESPESA I NIVELL DE DEUTE</w:t>
      </w:r>
    </w:p>
    <w:p w:rsidR="00B20423" w:rsidRDefault="00B20423" w:rsidP="00B20423">
      <w:pPr>
        <w:pStyle w:val="Textoindependiente"/>
        <w:tabs>
          <w:tab w:val="left" w:pos="900"/>
        </w:tabs>
        <w:rPr>
          <w:rFonts w:ascii="Arial" w:hAnsi="Arial" w:cs="Arial"/>
          <w:b/>
          <w:bCs/>
          <w:sz w:val="22"/>
          <w:szCs w:val="22"/>
          <w:lang w:val="ca-ES"/>
        </w:rPr>
      </w:pPr>
    </w:p>
    <w:p w:rsidR="00B20423" w:rsidRDefault="00B20423" w:rsidP="00B20423">
      <w:pPr>
        <w:pStyle w:val="Textoindependiente"/>
        <w:tabs>
          <w:tab w:val="left" w:pos="900"/>
        </w:tabs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>En relació al compliment de l’objectiu d’estabilitat pressupostaria, regla de despesa i nivell de deute, el pressupost de l´Ajuntament:</w:t>
      </w:r>
    </w:p>
    <w:p w:rsidR="00B20423" w:rsidRDefault="00B20423" w:rsidP="00B2042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a) No es compleix l’objectiu d’estabilitat pressupostària entès com la situació d’equilibri o de superàvit en termes de capacitat de finançament, d’acord amb la definició continguda en el SEC 95 (2010).</w:t>
      </w: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b) Compleix l’objectiu de deute públic.</w:t>
      </w:r>
    </w:p>
    <w:p w:rsidR="00B20423" w:rsidRDefault="00B20423" w:rsidP="00B20423">
      <w:pPr>
        <w:suppressAutoHyphens/>
        <w:ind w:left="708"/>
        <w:jc w:val="both"/>
        <w:rPr>
          <w:rFonts w:ascii="Arial" w:hAnsi="Arial" w:cs="Arial"/>
          <w:lang w:eastAsia="zh-CN"/>
        </w:rPr>
      </w:pP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c) Considerant els paràmetres de càlcul de la regla de la despesa, presenta una taxa positiva del 6,88%.</w:t>
      </w: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lang w:eastAsia="zh-CN"/>
        </w:rPr>
      </w:pP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d) Cal considerar la suspensió de les regles fiscals per l´ any 2022 i  2023 i llurs efectes exposats en el nº 2 d´aquest informe.</w:t>
      </w: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lang w:eastAsia="zh-CN"/>
        </w:rPr>
      </w:pPr>
    </w:p>
    <w:p w:rsidR="00B20423" w:rsidRDefault="00B20423" w:rsidP="00B20423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lang w:eastAsia="zh-CN"/>
        </w:rPr>
      </w:pPr>
      <w:r>
        <w:rPr>
          <w:rFonts w:ascii="Arial" w:hAnsi="Arial" w:cs="Arial"/>
          <w:color w:val="000000"/>
          <w:lang w:eastAsia="zh-CN"/>
        </w:rPr>
        <w:t>e) L´aplicació de l´excés de finançament afectat i del romanent de tresoreria per a despeses generals, llevat del destinat a inversions financerament sostenibles, a la despesa feta en un exercici pressupostari següent, juntament amb les despeses finançades amb quotes d´urbanització i contribucions especials, provoca problemes de compliment de les regles fiscals d´estabilitat i regla de la despesa, ja que en ambdues situacions es realitzen despeses no financeres sense possibilitar cap ajust.</w:t>
      </w:r>
    </w:p>
    <w:p w:rsidR="00B20423" w:rsidRDefault="00B20423" w:rsidP="00B20423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B20423" w:rsidRDefault="00B20423" w:rsidP="00B20423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B20423" w:rsidRDefault="00B20423" w:rsidP="00B20423">
      <w:pPr>
        <w:pStyle w:val="Textoindependiente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Castell-Platja d’Aro,  23 de febrer de 2023</w:t>
      </w:r>
    </w:p>
    <w:p w:rsidR="00B20423" w:rsidRDefault="00B20423" w:rsidP="00B20423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B20423" w:rsidRDefault="00B20423" w:rsidP="00B20423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>
        <w:rPr>
          <w:rFonts w:ascii="Arial" w:hAnsi="Arial" w:cs="Arial"/>
          <w:b w:val="0"/>
          <w:sz w:val="22"/>
          <w:szCs w:val="22"/>
          <w:u w:val="none"/>
          <w:lang w:val="ca-ES"/>
        </w:rPr>
        <w:t>L´Interventor</w:t>
      </w:r>
    </w:p>
    <w:p w:rsidR="00B20423" w:rsidRDefault="00B20423" w:rsidP="00B20423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B20423" w:rsidRDefault="00B20423" w:rsidP="00B20423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B20423" w:rsidRDefault="00B20423" w:rsidP="00B20423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B20423" w:rsidRDefault="00B20423" w:rsidP="00B20423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>
        <w:rPr>
          <w:rFonts w:ascii="Arial" w:hAnsi="Arial" w:cs="Arial"/>
          <w:b w:val="0"/>
          <w:sz w:val="22"/>
          <w:szCs w:val="22"/>
          <w:u w:val="none"/>
          <w:lang w:val="ca-ES"/>
        </w:rPr>
        <w:t>Sr.Josep Serra Oliveras</w:t>
      </w:r>
    </w:p>
    <w:p w:rsidR="00E46061" w:rsidRPr="00E46061" w:rsidRDefault="00E46061" w:rsidP="002E6AEE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46061" w:rsidRPr="00E46061" w:rsidRDefault="00E46061" w:rsidP="002E6AEE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46061">
        <w:rPr>
          <w:rFonts w:ascii="Arial" w:eastAsia="Times New Roman" w:hAnsi="Arial" w:cs="Arial"/>
          <w:sz w:val="24"/>
          <w:szCs w:val="24"/>
          <w:lang w:val="ca-ES" w:eastAsia="es-ES"/>
        </w:rPr>
        <w:tab/>
      </w:r>
      <w:r w:rsidRPr="00E46061">
        <w:rPr>
          <w:rFonts w:ascii="Arial" w:eastAsia="Times New Roman" w:hAnsi="Arial" w:cs="Arial"/>
          <w:sz w:val="24"/>
          <w:szCs w:val="24"/>
          <w:lang w:val="ca-ES" w:eastAsia="es-ES"/>
        </w:rPr>
        <w:tab/>
      </w:r>
      <w:r w:rsidRPr="00E46061">
        <w:rPr>
          <w:rFonts w:ascii="Arial" w:eastAsia="Times New Roman" w:hAnsi="Arial" w:cs="Arial"/>
          <w:sz w:val="24"/>
          <w:szCs w:val="24"/>
          <w:lang w:val="ca-ES" w:eastAsia="es-ES"/>
        </w:rPr>
        <w:tab/>
      </w:r>
      <w:r w:rsidRPr="00E46061">
        <w:rPr>
          <w:rFonts w:ascii="Arial" w:eastAsia="Times New Roman" w:hAnsi="Arial" w:cs="Arial"/>
          <w:sz w:val="24"/>
          <w:szCs w:val="24"/>
          <w:lang w:val="ca-ES" w:eastAsia="es-ES"/>
        </w:rPr>
        <w:tab/>
      </w:r>
    </w:p>
    <w:p w:rsidR="00E46061" w:rsidRPr="00E46061" w:rsidRDefault="00E46061" w:rsidP="002E6AEE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ca-ES" w:eastAsia="es-ES"/>
        </w:rPr>
      </w:pPr>
    </w:p>
    <w:p w:rsidR="00115EB3" w:rsidRPr="007421AB" w:rsidRDefault="00115EB3" w:rsidP="002E6AEE">
      <w:pPr>
        <w:jc w:val="both"/>
        <w:rPr>
          <w:rFonts w:ascii="Arial" w:hAnsi="Arial" w:cs="Arial"/>
          <w:sz w:val="24"/>
          <w:szCs w:val="24"/>
          <w:lang w:val="ca-ES"/>
        </w:rPr>
      </w:pPr>
    </w:p>
    <w:sectPr w:rsidR="00115EB3" w:rsidRPr="007421A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90" w:rsidRDefault="00721390" w:rsidP="00115EB3">
      <w:pPr>
        <w:spacing w:after="0"/>
      </w:pPr>
      <w:r>
        <w:separator/>
      </w:r>
    </w:p>
  </w:endnote>
  <w:endnote w:type="continuationSeparator" w:id="0">
    <w:p w:rsidR="00721390" w:rsidRDefault="00721390" w:rsidP="00115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EB3" w:rsidRPr="00B62DA4" w:rsidRDefault="00115EB3" w:rsidP="00C131A6">
    <w:pPr>
      <w:pStyle w:val="Piedepgina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90" w:rsidRDefault="00721390" w:rsidP="00115EB3">
      <w:pPr>
        <w:spacing w:after="0"/>
      </w:pPr>
      <w:r>
        <w:separator/>
      </w:r>
    </w:p>
  </w:footnote>
  <w:footnote w:type="continuationSeparator" w:id="0">
    <w:p w:rsidR="00721390" w:rsidRDefault="00721390" w:rsidP="00115E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30" w:rsidRDefault="00946C76">
    <w:r w:rsidRPr="00B50ED3">
      <w:rPr>
        <w:noProof/>
        <w:lang w:eastAsia="es-ES"/>
      </w:rPr>
      <w:drawing>
        <wp:inline distT="0" distB="0" distL="0" distR="0">
          <wp:extent cx="1933575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2F57BA">
    <w:pPr>
      <w:spacing w:after="0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" w15:restartNumberingAfterBreak="0">
    <w:nsid w:val="03E21474"/>
    <w:multiLevelType w:val="hybridMultilevel"/>
    <w:tmpl w:val="ABD235B6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A4C64"/>
    <w:multiLevelType w:val="hybridMultilevel"/>
    <w:tmpl w:val="A9387636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5154C"/>
    <w:multiLevelType w:val="hybridMultilevel"/>
    <w:tmpl w:val="278A59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A7E0C"/>
    <w:multiLevelType w:val="hybridMultilevel"/>
    <w:tmpl w:val="B9881D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9F7"/>
    <w:multiLevelType w:val="hybridMultilevel"/>
    <w:tmpl w:val="12742A38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B1C61"/>
    <w:multiLevelType w:val="hybridMultilevel"/>
    <w:tmpl w:val="BA06E7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14B8A"/>
    <w:multiLevelType w:val="hybridMultilevel"/>
    <w:tmpl w:val="948A213E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E28ED"/>
    <w:multiLevelType w:val="singleLevel"/>
    <w:tmpl w:val="7A684E24"/>
    <w:lvl w:ilvl="0">
      <w:start w:val="20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E7"/>
    <w:rsid w:val="00015238"/>
    <w:rsid w:val="000472D9"/>
    <w:rsid w:val="00082947"/>
    <w:rsid w:val="001145EC"/>
    <w:rsid w:val="00115EB3"/>
    <w:rsid w:val="001659FE"/>
    <w:rsid w:val="001C334D"/>
    <w:rsid w:val="002033E2"/>
    <w:rsid w:val="00205F0C"/>
    <w:rsid w:val="00247763"/>
    <w:rsid w:val="002B6E58"/>
    <w:rsid w:val="002E18C9"/>
    <w:rsid w:val="002E2375"/>
    <w:rsid w:val="002E6AEE"/>
    <w:rsid w:val="002F03E2"/>
    <w:rsid w:val="002F57BA"/>
    <w:rsid w:val="003276C8"/>
    <w:rsid w:val="00340184"/>
    <w:rsid w:val="004730D7"/>
    <w:rsid w:val="00496E09"/>
    <w:rsid w:val="004F1E0A"/>
    <w:rsid w:val="005D6E43"/>
    <w:rsid w:val="00637110"/>
    <w:rsid w:val="006579E7"/>
    <w:rsid w:val="00691713"/>
    <w:rsid w:val="006A44DB"/>
    <w:rsid w:val="006D197D"/>
    <w:rsid w:val="006E104E"/>
    <w:rsid w:val="00701FF5"/>
    <w:rsid w:val="00721390"/>
    <w:rsid w:val="007421AB"/>
    <w:rsid w:val="007532C6"/>
    <w:rsid w:val="00754720"/>
    <w:rsid w:val="007A420C"/>
    <w:rsid w:val="007D62C5"/>
    <w:rsid w:val="00836DCD"/>
    <w:rsid w:val="008540E8"/>
    <w:rsid w:val="00922818"/>
    <w:rsid w:val="00930813"/>
    <w:rsid w:val="00946C76"/>
    <w:rsid w:val="009B77E5"/>
    <w:rsid w:val="00B20423"/>
    <w:rsid w:val="00B47A30"/>
    <w:rsid w:val="00B62DA4"/>
    <w:rsid w:val="00B80AF1"/>
    <w:rsid w:val="00C131A6"/>
    <w:rsid w:val="00C32C27"/>
    <w:rsid w:val="00D062EE"/>
    <w:rsid w:val="00D7034E"/>
    <w:rsid w:val="00D829A1"/>
    <w:rsid w:val="00DA27A7"/>
    <w:rsid w:val="00E35F51"/>
    <w:rsid w:val="00E46061"/>
    <w:rsid w:val="00EB55F2"/>
    <w:rsid w:val="00F2116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51F64F"/>
  <w15:chartTrackingRefBased/>
  <w15:docId w15:val="{7CB83BB8-0B5D-4494-A5A6-255D7C99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2C5"/>
    <w:pPr>
      <w:spacing w:after="20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paragraph" w:styleId="Prrafodelista">
    <w:name w:val="List Paragraph"/>
    <w:basedOn w:val="Normal"/>
    <w:uiPriority w:val="34"/>
    <w:qFormat/>
    <w:rsid w:val="002E6AEE"/>
    <w:pPr>
      <w:spacing w:after="0"/>
      <w:ind w:left="720"/>
      <w:contextualSpacing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20423"/>
    <w:pPr>
      <w:spacing w:after="0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semiHidden/>
    <w:rsid w:val="00B20423"/>
    <w:rPr>
      <w:rFonts w:ascii="Times New Roman" w:eastAsia="Times New Roman" w:hAnsi="Times New Roman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20423"/>
    <w:pPr>
      <w:spacing w:after="0"/>
      <w:jc w:val="both"/>
    </w:pPr>
    <w:rPr>
      <w:rFonts w:ascii="Times New Roman" w:eastAsia="Times New Roman" w:hAnsi="Times New Roman"/>
      <w:b/>
      <w:sz w:val="24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link w:val="Textoindependiente2"/>
    <w:semiHidden/>
    <w:rsid w:val="00B20423"/>
    <w:rPr>
      <w:rFonts w:ascii="Times New Roman" w:eastAsia="Times New Roman" w:hAnsi="Times New Roman"/>
      <w:b/>
      <w:sz w:val="24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2042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B20423"/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(X2021000266)</vt:lpstr>
    </vt:vector>
  </TitlesOfParts>
  <Company>OVH SAS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(X2021000266)</dc:title>
  <dc:subject/>
  <dc:creator>cristina.delgado</dc:creator>
  <cp:keywords/>
  <cp:lastModifiedBy>olga ribas</cp:lastModifiedBy>
  <cp:revision>2</cp:revision>
  <cp:lastPrinted>2021-02-23T07:40:00Z</cp:lastPrinted>
  <dcterms:created xsi:type="dcterms:W3CDTF">2026-07-16T09:25:00Z</dcterms:created>
  <dcterms:modified xsi:type="dcterms:W3CDTF">2026-07-16T09:25:00Z</dcterms:modified>
</cp:coreProperties>
</file>